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4" w:rsidRDefault="00C943B4" w:rsidP="002E78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Дорожная карта  по  развитию</w:t>
      </w:r>
      <w:r w:rsidRPr="00FF7C1B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FF7C1B">
        <w:rPr>
          <w:rFonts w:ascii="Times New Roman" w:hAnsi="Times New Roman"/>
          <w:b/>
          <w:sz w:val="28"/>
        </w:rPr>
        <w:t xml:space="preserve">системы оценки качества дошкольного образования </w:t>
      </w:r>
    </w:p>
    <w:p w:rsidR="00C943B4" w:rsidRDefault="00C943B4" w:rsidP="002E78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 с.Агинское</w:t>
      </w:r>
    </w:p>
    <w:p w:rsidR="00C943B4" w:rsidRDefault="00C943B4" w:rsidP="002E78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7C1B">
        <w:rPr>
          <w:rFonts w:ascii="Times New Roman" w:hAnsi="Times New Roman"/>
          <w:b/>
          <w:sz w:val="28"/>
        </w:rPr>
        <w:t>на 2021-2022 учебный год.</w:t>
      </w:r>
    </w:p>
    <w:p w:rsidR="00C943B4" w:rsidRPr="00FF7C1B" w:rsidRDefault="00C943B4" w:rsidP="002E78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943B4" w:rsidRDefault="00C943B4" w:rsidP="002E7840">
      <w:pPr>
        <w:spacing w:after="0" w:line="247" w:lineRule="auto"/>
        <w:jc w:val="center"/>
        <w:rPr>
          <w:rFonts w:ascii="Times New Roman" w:hAnsi="Times New Roman"/>
          <w:b/>
          <w:sz w:val="28"/>
        </w:rPr>
      </w:pPr>
      <w:r w:rsidRPr="00790901">
        <w:rPr>
          <w:rFonts w:ascii="Times New Roman" w:hAnsi="Times New Roman"/>
          <w:b/>
          <w:sz w:val="28"/>
        </w:rPr>
        <w:t>Пояснительная записка.</w:t>
      </w:r>
    </w:p>
    <w:p w:rsidR="00C943B4" w:rsidRPr="00FF7C1B" w:rsidRDefault="00C943B4" w:rsidP="00FF6EAD">
      <w:pPr>
        <w:spacing w:line="247" w:lineRule="auto"/>
        <w:ind w:firstLine="284"/>
        <w:jc w:val="both"/>
        <w:rPr>
          <w:rFonts w:ascii="Times New Roman" w:hAnsi="Times New Roman"/>
          <w:b/>
          <w:sz w:val="28"/>
        </w:rPr>
      </w:pPr>
      <w:r w:rsidRPr="00FF7C1B">
        <w:rPr>
          <w:sz w:val="28"/>
          <w:szCs w:val="28"/>
        </w:rPr>
        <w:t xml:space="preserve"> </w:t>
      </w:r>
      <w:r w:rsidRPr="00FF7C1B">
        <w:rPr>
          <w:rFonts w:ascii="Times New Roman" w:hAnsi="Times New Roman"/>
          <w:sz w:val="28"/>
        </w:rPr>
        <w:t xml:space="preserve">В соответствии с планом работы Управления образования 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с.Агинское, </w:t>
      </w:r>
      <w:r w:rsidRPr="00FF7C1B">
        <w:rPr>
          <w:rFonts w:ascii="Times New Roman" w:hAnsi="Times New Roman"/>
          <w:sz w:val="28"/>
        </w:rPr>
        <w:t xml:space="preserve">с целью </w:t>
      </w:r>
      <w:r w:rsidRPr="00FF7C1B">
        <w:rPr>
          <w:rFonts w:ascii="Times New Roman" w:hAnsi="Times New Roman"/>
          <w:sz w:val="28"/>
          <w:szCs w:val="28"/>
        </w:rPr>
        <w:t>сбора и анализа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FF7C1B">
        <w:rPr>
          <w:rFonts w:ascii="Times New Roman" w:hAnsi="Times New Roman"/>
          <w:sz w:val="28"/>
          <w:szCs w:val="28"/>
        </w:rPr>
        <w:t xml:space="preserve"> мониторинг качества </w:t>
      </w:r>
      <w:r w:rsidRPr="00FF7C1B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FF7C1B">
        <w:rPr>
          <w:rFonts w:ascii="Times New Roman" w:hAnsi="Times New Roman"/>
          <w:sz w:val="28"/>
          <w:szCs w:val="28"/>
        </w:rPr>
        <w:t>дошкольного</w:t>
      </w:r>
      <w:r w:rsidRPr="00FF7C1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F7C1B">
        <w:rPr>
          <w:rFonts w:ascii="Times New Roman" w:hAnsi="Times New Roman"/>
          <w:sz w:val="28"/>
          <w:szCs w:val="28"/>
        </w:rPr>
        <w:t>образования</w:t>
      </w:r>
      <w:r w:rsidRPr="00FF7C1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F7C1B">
        <w:rPr>
          <w:rFonts w:ascii="Times New Roman" w:hAnsi="Times New Roman"/>
          <w:sz w:val="28"/>
          <w:szCs w:val="28"/>
        </w:rPr>
        <w:t>в</w:t>
      </w:r>
      <w:r w:rsidRPr="00FF7C1B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 с.Агинское</w:t>
      </w:r>
      <w:r w:rsidRPr="00FF7C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проведен</w:t>
      </w:r>
      <w:r w:rsidRPr="00FF7C1B">
        <w:rPr>
          <w:rFonts w:ascii="Times New Roman" w:hAnsi="Times New Roman"/>
          <w:sz w:val="28"/>
          <w:szCs w:val="28"/>
        </w:rPr>
        <w:t xml:space="preserve"> мониторинг качества </w:t>
      </w:r>
      <w:r w:rsidRPr="00FF7C1B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FF7C1B">
        <w:rPr>
          <w:rFonts w:ascii="Times New Roman" w:hAnsi="Times New Roman"/>
          <w:sz w:val="28"/>
          <w:szCs w:val="28"/>
        </w:rPr>
        <w:t>дошкольного</w:t>
      </w:r>
      <w:r w:rsidRPr="00FF7C1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F7C1B">
        <w:rPr>
          <w:rFonts w:ascii="Times New Roman" w:hAnsi="Times New Roman"/>
          <w:sz w:val="28"/>
          <w:szCs w:val="28"/>
        </w:rPr>
        <w:t>образования</w:t>
      </w:r>
      <w:r w:rsidRPr="00FF7C1B">
        <w:rPr>
          <w:rFonts w:ascii="Times New Roman" w:hAnsi="Times New Roman"/>
          <w:spacing w:val="35"/>
          <w:sz w:val="28"/>
          <w:szCs w:val="28"/>
        </w:rPr>
        <w:t xml:space="preserve"> </w:t>
      </w:r>
    </w:p>
    <w:p w:rsidR="00C943B4" w:rsidRPr="00790901" w:rsidRDefault="00C943B4" w:rsidP="009E4470">
      <w:pPr>
        <w:widowControl w:val="0"/>
        <w:tabs>
          <w:tab w:val="left" w:pos="745"/>
          <w:tab w:val="left" w:pos="2103"/>
          <w:tab w:val="left" w:pos="2435"/>
          <w:tab w:val="left" w:pos="3482"/>
          <w:tab w:val="left" w:pos="3813"/>
          <w:tab w:val="left" w:pos="5271"/>
          <w:tab w:val="left" w:pos="5778"/>
          <w:tab w:val="left" w:pos="7246"/>
          <w:tab w:val="left" w:pos="7964"/>
          <w:tab w:val="left" w:pos="9605"/>
        </w:tabs>
        <w:autoSpaceDE w:val="0"/>
        <w:autoSpaceDN w:val="0"/>
        <w:spacing w:before="223" w:after="0" w:line="240" w:lineRule="auto"/>
        <w:ind w:left="344" w:right="172"/>
        <w:jc w:val="both"/>
        <w:rPr>
          <w:rFonts w:ascii="Times New Roman" w:hAnsi="Times New Roman"/>
          <w:sz w:val="28"/>
          <w:szCs w:val="28"/>
        </w:rPr>
      </w:pPr>
    </w:p>
    <w:p w:rsidR="00C943B4" w:rsidRPr="002449F0" w:rsidRDefault="00C943B4" w:rsidP="002E7840">
      <w:pPr>
        <w:pStyle w:val="NoSpacing"/>
        <w:ind w:firstLine="708"/>
        <w:jc w:val="both"/>
        <w:rPr>
          <w:b/>
          <w:color w:val="00000A"/>
          <w:sz w:val="28"/>
          <w:szCs w:val="28"/>
        </w:rPr>
      </w:pPr>
      <w:r w:rsidRPr="002449F0">
        <w:rPr>
          <w:b/>
          <w:bCs/>
          <w:sz w:val="28"/>
          <w:szCs w:val="28"/>
        </w:rPr>
        <w:t xml:space="preserve">Цель мониторинга </w:t>
      </w:r>
      <w:r w:rsidRPr="002449F0">
        <w:rPr>
          <w:sz w:val="28"/>
          <w:szCs w:val="28"/>
        </w:rPr>
        <w:t xml:space="preserve">-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 </w:t>
      </w:r>
    </w:p>
    <w:p w:rsidR="00C943B4" w:rsidRDefault="00C943B4" w:rsidP="002E784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эффективных управленческих решений по совершенствованию качества дошкольного образования в МКДОУ Агинский детский сад №1 « Солнышко»  выделены цели по следующим направлениям: </w:t>
      </w:r>
    </w:p>
    <w:p w:rsidR="00C943B4" w:rsidRDefault="00C943B4" w:rsidP="002E784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совершенствование качества образовательных программ дошкольного образования; </w:t>
      </w:r>
    </w:p>
    <w:p w:rsidR="00C943B4" w:rsidRDefault="00C943B4" w:rsidP="002E784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повышение качества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C943B4" w:rsidRDefault="00C943B4" w:rsidP="002E784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повышение качества образовательных условий в ДОУ (кадровые условия, развивающая предметно-пространственная среда, психолого-педагогические условия); </w:t>
      </w:r>
    </w:p>
    <w:p w:rsidR="00C943B4" w:rsidRDefault="00C943B4" w:rsidP="002E784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повышение качества реализации адаптированных основных образовательных программ в ДОУ; </w:t>
      </w:r>
    </w:p>
    <w:p w:rsidR="00C943B4" w:rsidRDefault="00C943B4" w:rsidP="002E784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C943B4" w:rsidRDefault="00C943B4" w:rsidP="002E784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обеспечение здоровья, безопасности и качества услуг по присмотру и уходу; </w:t>
      </w:r>
    </w:p>
    <w:p w:rsidR="00C943B4" w:rsidRDefault="00C943B4" w:rsidP="002E7840">
      <w:pPr>
        <w:ind w:firstLine="284"/>
        <w:jc w:val="both"/>
        <w:rPr>
          <w:rFonts w:ascii="Times New Roman" w:hAnsi="Times New Roman"/>
        </w:rPr>
      </w:pPr>
      <w:r w:rsidRPr="00FF7C1B">
        <w:rPr>
          <w:rFonts w:ascii="Times New Roman" w:hAnsi="Times New Roman"/>
          <w:sz w:val="28"/>
          <w:szCs w:val="28"/>
        </w:rPr>
        <w:t>7. пов</w:t>
      </w:r>
      <w:r>
        <w:rPr>
          <w:rFonts w:ascii="Times New Roman" w:hAnsi="Times New Roman"/>
          <w:sz w:val="28"/>
          <w:szCs w:val="28"/>
        </w:rPr>
        <w:t>ышение качества управления в ДОУ</w:t>
      </w:r>
      <w:r w:rsidRPr="00FF7C1B">
        <w:rPr>
          <w:rFonts w:ascii="Times New Roman" w:hAnsi="Times New Roman"/>
          <w:sz w:val="28"/>
          <w:szCs w:val="28"/>
        </w:rPr>
        <w:t>.</w:t>
      </w:r>
      <w:r w:rsidRPr="00FF7C1B">
        <w:rPr>
          <w:rFonts w:ascii="Times New Roman" w:hAnsi="Times New Roman"/>
        </w:rPr>
        <w:t xml:space="preserve"> </w:t>
      </w:r>
    </w:p>
    <w:p w:rsidR="00C943B4" w:rsidRDefault="00C943B4" w:rsidP="009E4470">
      <w:pPr>
        <w:jc w:val="both"/>
        <w:rPr>
          <w:rFonts w:ascii="Times New Roman" w:hAnsi="Times New Roman"/>
          <w:b/>
          <w:sz w:val="28"/>
          <w:szCs w:val="28"/>
        </w:rPr>
      </w:pPr>
    </w:p>
    <w:p w:rsidR="00C943B4" w:rsidRDefault="00C943B4" w:rsidP="009E4470">
      <w:pPr>
        <w:jc w:val="both"/>
        <w:rPr>
          <w:rFonts w:ascii="Times New Roman" w:hAnsi="Times New Roman"/>
          <w:b/>
          <w:sz w:val="28"/>
          <w:szCs w:val="28"/>
        </w:rPr>
      </w:pPr>
    </w:p>
    <w:p w:rsidR="00C943B4" w:rsidRPr="0035667F" w:rsidRDefault="00C943B4" w:rsidP="00E568E9">
      <w:pPr>
        <w:spacing w:line="247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35667F">
        <w:rPr>
          <w:rFonts w:ascii="Times New Roman" w:hAnsi="Times New Roman"/>
          <w:b/>
          <w:sz w:val="28"/>
          <w:szCs w:val="28"/>
        </w:rPr>
        <w:t xml:space="preserve">Вывод анализа мониторинг качества </w:t>
      </w:r>
      <w:r w:rsidRPr="0035667F">
        <w:rPr>
          <w:rFonts w:ascii="Times New Roman" w:hAnsi="Times New Roman"/>
          <w:b/>
          <w:spacing w:val="-65"/>
          <w:sz w:val="28"/>
          <w:szCs w:val="28"/>
        </w:rPr>
        <w:t xml:space="preserve"> </w:t>
      </w:r>
      <w:r w:rsidRPr="0035667F">
        <w:rPr>
          <w:rFonts w:ascii="Times New Roman" w:hAnsi="Times New Roman"/>
          <w:b/>
          <w:sz w:val="28"/>
          <w:szCs w:val="28"/>
        </w:rPr>
        <w:t>дошкольного</w:t>
      </w:r>
      <w:r w:rsidRPr="0035667F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35667F">
        <w:rPr>
          <w:rFonts w:ascii="Times New Roman" w:hAnsi="Times New Roman"/>
          <w:b/>
          <w:sz w:val="28"/>
          <w:szCs w:val="28"/>
        </w:rPr>
        <w:t>образования</w:t>
      </w:r>
      <w:r w:rsidRPr="0035667F">
        <w:rPr>
          <w:rFonts w:ascii="Times New Roman" w:hAnsi="Times New Roman"/>
          <w:b/>
          <w:spacing w:val="35"/>
          <w:sz w:val="28"/>
          <w:szCs w:val="28"/>
        </w:rPr>
        <w:t xml:space="preserve"> </w:t>
      </w:r>
      <w:r w:rsidRPr="0035667F">
        <w:rPr>
          <w:rFonts w:ascii="Times New Roman" w:hAnsi="Times New Roman"/>
          <w:b/>
          <w:sz w:val="28"/>
          <w:szCs w:val="28"/>
        </w:rPr>
        <w:t>в</w:t>
      </w:r>
      <w:r w:rsidRPr="0035667F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 образовании  с.Агинское</w:t>
      </w:r>
    </w:p>
    <w:p w:rsidR="00C943B4" w:rsidRPr="0035667F" w:rsidRDefault="00C943B4" w:rsidP="0035667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FF7C1B">
        <w:rPr>
          <w:rFonts w:ascii="Times New Roman" w:hAnsi="Times New Roman"/>
          <w:sz w:val="28"/>
          <w:szCs w:val="28"/>
          <w:lang w:eastAsia="en-US"/>
        </w:rPr>
        <w:t xml:space="preserve">Практически все показатели мониторинга качества дошкольного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подтверждены во всех ДОУ. </w:t>
      </w:r>
      <w:r w:rsidRPr="00FF7C1B">
        <w:rPr>
          <w:rFonts w:ascii="Times New Roman" w:hAnsi="Times New Roman"/>
          <w:sz w:val="28"/>
          <w:szCs w:val="28"/>
          <w:lang w:eastAsia="en-US"/>
        </w:rPr>
        <w:t>Кадровый потенциал дошкольных организаций во многом предопределяет качество образования, поэтому уровень образования, повышени</w:t>
      </w:r>
      <w:r>
        <w:rPr>
          <w:rFonts w:ascii="Times New Roman" w:hAnsi="Times New Roman"/>
          <w:sz w:val="28"/>
          <w:szCs w:val="28"/>
          <w:lang w:eastAsia="en-US"/>
        </w:rPr>
        <w:t>я квалификации педагогами ДОУ</w:t>
      </w:r>
      <w:r w:rsidRPr="00FF7C1B">
        <w:rPr>
          <w:rFonts w:ascii="Times New Roman" w:hAnsi="Times New Roman"/>
          <w:sz w:val="28"/>
          <w:szCs w:val="28"/>
          <w:lang w:eastAsia="en-US"/>
        </w:rPr>
        <w:t xml:space="preserve"> позволяет реализовать основную образовательную программу на должном уровне. Но</w:t>
      </w:r>
      <w:r>
        <w:rPr>
          <w:rFonts w:ascii="Times New Roman" w:hAnsi="Times New Roman"/>
          <w:sz w:val="28"/>
          <w:szCs w:val="28"/>
          <w:lang w:eastAsia="en-US"/>
        </w:rPr>
        <w:t xml:space="preserve"> так же </w:t>
      </w:r>
      <w:r w:rsidRPr="00FF7C1B">
        <w:rPr>
          <w:rFonts w:ascii="Times New Roman" w:hAnsi="Times New Roman"/>
          <w:sz w:val="28"/>
          <w:szCs w:val="28"/>
          <w:lang w:eastAsia="en-US"/>
        </w:rPr>
        <w:t xml:space="preserve"> выявлены недостатки по следующим показателям: </w:t>
      </w:r>
      <w:r w:rsidRPr="00FF7C1B">
        <w:rPr>
          <w:rFonts w:ascii="Times New Roman" w:hAnsi="Times New Roman"/>
          <w:b/>
          <w:sz w:val="28"/>
          <w:szCs w:val="28"/>
        </w:rPr>
        <w:t>«</w:t>
      </w:r>
      <w:r w:rsidRPr="00FF7C1B">
        <w:rPr>
          <w:rFonts w:ascii="Times New Roman" w:hAnsi="Times New Roman"/>
          <w:sz w:val="28"/>
          <w:szCs w:val="28"/>
        </w:rPr>
        <w:t>Качество образовательных программ дошкольного образования»,</w:t>
      </w:r>
      <w:r w:rsidRPr="00FF7C1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FF7C1B">
        <w:rPr>
          <w:rFonts w:ascii="Times New Roman" w:hAnsi="Times New Roman"/>
          <w:bCs/>
          <w:sz w:val="28"/>
          <w:szCs w:val="28"/>
        </w:rPr>
        <w:t>Качество содержания об</w:t>
      </w:r>
      <w:r>
        <w:rPr>
          <w:rFonts w:ascii="Times New Roman" w:hAnsi="Times New Roman"/>
          <w:bCs/>
          <w:sz w:val="28"/>
          <w:szCs w:val="28"/>
        </w:rPr>
        <w:t>разовательной деятельности в ДОУ</w:t>
      </w:r>
      <w:r w:rsidRPr="00FF7C1B">
        <w:rPr>
          <w:rFonts w:ascii="Times New Roman" w:hAnsi="Times New Roman"/>
          <w:bCs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развитие)», «</w:t>
      </w:r>
      <w:r w:rsidRPr="00FF7C1B">
        <w:rPr>
          <w:rFonts w:ascii="Times New Roman" w:hAnsi="Times New Roman"/>
          <w:sz w:val="28"/>
          <w:szCs w:val="28"/>
        </w:rPr>
        <w:t>Развивающая предметно-пространственная среда», «Повышение ка</w:t>
      </w:r>
      <w:r>
        <w:rPr>
          <w:rFonts w:ascii="Times New Roman" w:hAnsi="Times New Roman"/>
          <w:sz w:val="28"/>
          <w:szCs w:val="28"/>
        </w:rPr>
        <w:t>чества управления в ДОУ</w:t>
      </w:r>
      <w:r w:rsidRPr="00FF7C1B">
        <w:rPr>
          <w:rFonts w:ascii="Times New Roman" w:hAnsi="Times New Roman"/>
          <w:sz w:val="28"/>
          <w:szCs w:val="28"/>
        </w:rPr>
        <w:t>».</w:t>
      </w:r>
    </w:p>
    <w:p w:rsidR="00C943B4" w:rsidRDefault="00C943B4" w:rsidP="009E4470">
      <w:pPr>
        <w:spacing w:line="247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показателей </w:t>
      </w:r>
      <w:r>
        <w:rPr>
          <w:rFonts w:ascii="Times New Roman" w:hAnsi="Times New Roman"/>
          <w:sz w:val="28"/>
        </w:rPr>
        <w:t>разработан план мероприятий по развитию муниципальной системы оценки качества дошкольного образования муниципального образования с.Агинское на 2021-2022 учебный год.</w:t>
      </w:r>
    </w:p>
    <w:p w:rsidR="00C943B4" w:rsidRDefault="00C943B4" w:rsidP="009E4470">
      <w:pPr>
        <w:spacing w:line="247" w:lineRule="auto"/>
        <w:ind w:firstLine="284"/>
        <w:jc w:val="both"/>
        <w:rPr>
          <w:rFonts w:ascii="Times New Roman" w:hAnsi="Times New Roman"/>
          <w:b/>
          <w:sz w:val="28"/>
        </w:rPr>
      </w:pPr>
      <w:r w:rsidRPr="007E5A2E">
        <w:rPr>
          <w:rFonts w:ascii="Times New Roman" w:hAnsi="Times New Roman"/>
          <w:b/>
          <w:sz w:val="28"/>
        </w:rPr>
        <w:t>Паспорт «дорожной карты»</w:t>
      </w:r>
      <w:r>
        <w:rPr>
          <w:rFonts w:ascii="Times New Roman" w:hAnsi="Times New Roman"/>
          <w:b/>
          <w:sz w:val="28"/>
        </w:rPr>
        <w:t xml:space="preserve"> по муниципальной системе</w:t>
      </w:r>
      <w:r w:rsidRPr="007E5A2E">
        <w:rPr>
          <w:rFonts w:ascii="Times New Roman" w:hAnsi="Times New Roman"/>
          <w:b/>
          <w:sz w:val="28"/>
        </w:rPr>
        <w:t xml:space="preserve"> оценки эффективности дошкольного образования на 2021-2022г.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5494"/>
      </w:tblGrid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5494" w:type="dxa"/>
          </w:tcPr>
          <w:p w:rsidR="00C943B4" w:rsidRPr="00E30850" w:rsidRDefault="00C943B4" w:rsidP="00E3085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Повысить  следующие показатели по улучшению муниципальной системы оценки эффективности дошкольного образования:</w:t>
            </w:r>
            <w:r w:rsidRPr="00E3085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Качество образовательных программ дошкольного образования»,</w:t>
            </w:r>
            <w:r w:rsidRPr="00E30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E30850">
              <w:rPr>
                <w:rFonts w:ascii="Times New Roman" w:hAnsi="Times New Roman"/>
                <w:bCs/>
                <w:sz w:val="28"/>
                <w:szCs w:val="28"/>
              </w:rPr>
              <w:t>Качество содержания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разовательной деятельности в ДОУ</w:t>
            </w:r>
            <w:r w:rsidRPr="00E30850">
              <w:rPr>
                <w:rFonts w:ascii="Times New Roman" w:hAnsi="Times New Roman"/>
                <w:bCs/>
                <w:sz w:val="28"/>
                <w:szCs w:val="28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развитие)», «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среда», «Повышени</w:t>
            </w:r>
            <w:r>
              <w:rPr>
                <w:rFonts w:ascii="Times New Roman" w:hAnsi="Times New Roman"/>
                <w:sz w:val="28"/>
                <w:szCs w:val="28"/>
              </w:rPr>
              <w:t>е качества управления в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494" w:type="dxa"/>
          </w:tcPr>
          <w:p w:rsidR="00C943B4" w:rsidRPr="00E30850" w:rsidRDefault="00C943B4" w:rsidP="00E30850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Повышение следующих показателей  по улучшению муниципальной системы оценки эффективности дошкольного образования:</w:t>
            </w:r>
            <w:r w:rsidRPr="00E3085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Качество образовательных программ дошкольного образования»,</w:t>
            </w:r>
            <w:r w:rsidRPr="00E30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E30850">
              <w:rPr>
                <w:rFonts w:ascii="Times New Roman" w:hAnsi="Times New Roman"/>
                <w:bCs/>
                <w:sz w:val="28"/>
                <w:szCs w:val="28"/>
              </w:rPr>
              <w:t>Качество содержания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разовательной деятельности в ДОУ</w:t>
            </w:r>
            <w:r w:rsidRPr="00E30850">
              <w:rPr>
                <w:rFonts w:ascii="Times New Roman" w:hAnsi="Times New Roman"/>
                <w:bCs/>
                <w:sz w:val="28"/>
                <w:szCs w:val="28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развитие)», «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Развивающая предметно-пространственная среда», «Повышение ка</w:t>
            </w:r>
            <w:r>
              <w:rPr>
                <w:rFonts w:ascii="Times New Roman" w:hAnsi="Times New Roman"/>
                <w:sz w:val="28"/>
                <w:szCs w:val="28"/>
              </w:rPr>
              <w:t>чества управления в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Показатели реализации дорожной карты – достижения ожидаемого результата.</w:t>
            </w:r>
          </w:p>
        </w:tc>
        <w:tc>
          <w:tcPr>
            <w:tcW w:w="5494" w:type="dxa"/>
          </w:tcPr>
          <w:p w:rsidR="00C943B4" w:rsidRPr="00E30850" w:rsidRDefault="00C943B4" w:rsidP="00EA134A">
            <w:pPr>
              <w:pStyle w:val="ListParagraph"/>
              <w:numPr>
                <w:ilvl w:val="0"/>
                <w:numId w:val="22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Соответствие основной образовательной программы дошк</w:t>
            </w:r>
            <w:r>
              <w:rPr>
                <w:rFonts w:ascii="Times New Roman" w:hAnsi="Times New Roman"/>
                <w:sz w:val="28"/>
                <w:szCs w:val="28"/>
              </w:rPr>
              <w:t>ольного образования (ООП ДО, АООП ДО)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, требованиям ФГОС ДО к структуре и содержанию образовательных программ дошкольного образования.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2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Содержательная насыщенность среды.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2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Трансформируемость  пространства.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2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Полифункциональность материалов.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2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Вариативность среды.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2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>ышение качества управления в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5494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мониторинг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 xml:space="preserve"> по недоработанным  критериям.</w:t>
            </w:r>
          </w:p>
        </w:tc>
      </w:tr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Анализ. Адресные рекомендации.</w:t>
            </w:r>
          </w:p>
        </w:tc>
        <w:tc>
          <w:tcPr>
            <w:tcW w:w="5494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Анализ, аналитические отчёты по выполнению дорожной карты, размещение адресных рекомендаций и аналитических материалов по итога</w:t>
            </w:r>
            <w:r>
              <w:rPr>
                <w:rFonts w:ascii="Times New Roman" w:hAnsi="Times New Roman"/>
                <w:sz w:val="28"/>
                <w:szCs w:val="28"/>
              </w:rPr>
              <w:t>м мониторинга, представление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Меры управленческие решения.</w:t>
            </w:r>
          </w:p>
        </w:tc>
        <w:tc>
          <w:tcPr>
            <w:tcW w:w="5494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руководителями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 xml:space="preserve"> направленные на повышение качества показателей.</w:t>
            </w:r>
          </w:p>
        </w:tc>
      </w:tr>
      <w:tr w:rsidR="00C943B4" w:rsidRPr="00E30850" w:rsidTr="00E30850">
        <w:tc>
          <w:tcPr>
            <w:tcW w:w="675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5494" w:type="dxa"/>
          </w:tcPr>
          <w:p w:rsidR="00C943B4" w:rsidRPr="00E30850" w:rsidRDefault="00C943B4" w:rsidP="00E30850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ДОУ</w:t>
            </w:r>
          </w:p>
        </w:tc>
      </w:tr>
    </w:tbl>
    <w:p w:rsidR="00C943B4" w:rsidRPr="007E5A2E" w:rsidRDefault="00C943B4" w:rsidP="009E4470">
      <w:pPr>
        <w:spacing w:line="247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943B4" w:rsidRDefault="00C943B4" w:rsidP="002A77CC"/>
    <w:p w:rsidR="00C943B4" w:rsidRDefault="00C943B4" w:rsidP="002A77CC"/>
    <w:p w:rsidR="00C943B4" w:rsidRDefault="00C943B4" w:rsidP="002A77CC"/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</w:p>
    <w:p w:rsidR="00C943B4" w:rsidRPr="00491249" w:rsidRDefault="00C943B4" w:rsidP="009420FD">
      <w:pPr>
        <w:pStyle w:val="BodyText"/>
        <w:ind w:firstLine="0"/>
        <w:jc w:val="center"/>
        <w:rPr>
          <w:rStyle w:val="BodyTextChar"/>
          <w:b/>
          <w:color w:val="000000"/>
        </w:rPr>
      </w:pPr>
      <w:r w:rsidRPr="00491249">
        <w:rPr>
          <w:rStyle w:val="BodyTextChar"/>
          <w:b/>
          <w:color w:val="000000"/>
        </w:rPr>
        <w:t>План мероприятий</w:t>
      </w:r>
    </w:p>
    <w:p w:rsidR="00C943B4" w:rsidRPr="00491249" w:rsidRDefault="00C943B4" w:rsidP="009420FD">
      <w:pPr>
        <w:spacing w:line="247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491249">
        <w:rPr>
          <w:rStyle w:val="BodyTextChar"/>
          <w:b/>
          <w:color w:val="000000"/>
          <w:szCs w:val="28"/>
        </w:rPr>
        <w:t xml:space="preserve">«Дорожная карта» </w:t>
      </w:r>
      <w:r w:rsidRPr="00491249">
        <w:rPr>
          <w:rFonts w:ascii="Times New Roman" w:hAnsi="Times New Roman"/>
          <w:b/>
          <w:sz w:val="28"/>
        </w:rPr>
        <w:t>по муниципальной системе оценки эффективности дошкольного образования на 2021-2022г.</w:t>
      </w:r>
    </w:p>
    <w:p w:rsidR="00C943B4" w:rsidRDefault="00C943B4" w:rsidP="009420FD">
      <w:pPr>
        <w:pStyle w:val="BodyText"/>
        <w:ind w:firstLine="0"/>
        <w:jc w:val="center"/>
        <w:rPr>
          <w:rStyle w:val="BodyTextChar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1"/>
        <w:gridCol w:w="2393"/>
        <w:gridCol w:w="2393"/>
      </w:tblGrid>
      <w:tr w:rsidR="00C943B4" w:rsidRPr="00E30850" w:rsidTr="00E30850">
        <w:tc>
          <w:tcPr>
            <w:tcW w:w="534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8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850">
              <w:rPr>
                <w:rFonts w:ascii="Times New Roman" w:hAnsi="Times New Roman"/>
                <w:b/>
                <w:sz w:val="28"/>
                <w:szCs w:val="28"/>
              </w:rPr>
              <w:t>Мероприятия (содержание деятельности)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850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0850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943B4" w:rsidRPr="00E30850" w:rsidTr="00E30850">
        <w:tc>
          <w:tcPr>
            <w:tcW w:w="534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Разработка  и нормативное закрепление «Дорожной карты» по муниципальной системе оценки эффективности дошкольного образования на 2021-2022г.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C943B4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3B4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О.А.</w:t>
            </w:r>
          </w:p>
        </w:tc>
      </w:tr>
      <w:tr w:rsidR="00C943B4" w:rsidRPr="00E30850" w:rsidTr="00E30850">
        <w:tc>
          <w:tcPr>
            <w:tcW w:w="534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943B4" w:rsidRPr="00E30850" w:rsidRDefault="00C943B4" w:rsidP="00EA1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 качества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МКДОУ Агинский детский сад №1 «Солнышко»  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по сниженным показателям: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3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Соответствие основной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(ООП ДО, АООП ДО)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, требованиям ФГОС ДО к структуре и содержанию образовательных программ дошкольного образования.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3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Содержательная насыщенность среды.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3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Трансформируемость  пространства.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3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Полифункциональность материалов.</w:t>
            </w:r>
          </w:p>
          <w:p w:rsidR="00C943B4" w:rsidRPr="00E30850" w:rsidRDefault="00C943B4" w:rsidP="00EA134A">
            <w:pPr>
              <w:pStyle w:val="ListParagraph"/>
              <w:numPr>
                <w:ilvl w:val="0"/>
                <w:numId w:val="23"/>
              </w:num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Вариативность среды.</w:t>
            </w:r>
          </w:p>
          <w:p w:rsidR="00C943B4" w:rsidRPr="00E30850" w:rsidRDefault="00C943B4" w:rsidP="00EA134A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>ышение качества управления в ДОУ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 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2393" w:type="dxa"/>
          </w:tcPr>
          <w:p w:rsidR="00C943B4" w:rsidRDefault="00C943B4" w:rsidP="00D34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3B4" w:rsidRDefault="00C943B4" w:rsidP="00D34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Тюгаева Н.Б.</w:t>
            </w:r>
          </w:p>
          <w:p w:rsidR="00C943B4" w:rsidRDefault="00C943B4" w:rsidP="00D34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3B4" w:rsidRDefault="00C943B4" w:rsidP="00D34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3B4" w:rsidRDefault="00C943B4" w:rsidP="00D34B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C943B4" w:rsidRPr="00E30850" w:rsidRDefault="00C943B4" w:rsidP="00D34BC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Сидорова О.А.</w:t>
            </w:r>
          </w:p>
        </w:tc>
      </w:tr>
      <w:tr w:rsidR="00C943B4" w:rsidRPr="00E30850" w:rsidTr="00E30850">
        <w:tc>
          <w:tcPr>
            <w:tcW w:w="534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Анализ результатов мониторинга, подготовка адресных рекомендаций.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0850">
              <w:rPr>
                <w:rFonts w:ascii="Times New Roman" w:hAnsi="Times New Roman"/>
                <w:sz w:val="28"/>
                <w:szCs w:val="28"/>
              </w:rPr>
              <w:t>Ноябрь 2021г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</w:pPr>
          </w:p>
        </w:tc>
      </w:tr>
      <w:tr w:rsidR="00C943B4" w:rsidRPr="00E30850" w:rsidTr="00E30850">
        <w:tc>
          <w:tcPr>
            <w:tcW w:w="534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Принятие мер, управленческих решений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 xml:space="preserve">           2022г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</w:pPr>
          </w:p>
        </w:tc>
      </w:tr>
      <w:tr w:rsidR="00C943B4" w:rsidRPr="00E30850" w:rsidTr="00E30850">
        <w:tc>
          <w:tcPr>
            <w:tcW w:w="534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C943B4" w:rsidRPr="00E30850" w:rsidRDefault="00C943B4" w:rsidP="00E30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Анализ эффективности принятых мер</w:t>
            </w:r>
          </w:p>
        </w:tc>
        <w:tc>
          <w:tcPr>
            <w:tcW w:w="2393" w:type="dxa"/>
          </w:tcPr>
          <w:p w:rsidR="00C943B4" w:rsidRPr="00E30850" w:rsidRDefault="00C943B4" w:rsidP="00EA1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850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2393" w:type="dxa"/>
          </w:tcPr>
          <w:p w:rsidR="00C943B4" w:rsidRPr="00E30850" w:rsidRDefault="00C943B4" w:rsidP="00E30850">
            <w:pPr>
              <w:spacing w:after="0" w:line="240" w:lineRule="auto"/>
            </w:pPr>
          </w:p>
        </w:tc>
      </w:tr>
    </w:tbl>
    <w:p w:rsidR="00C943B4" w:rsidRPr="002A77CC" w:rsidRDefault="00C943B4" w:rsidP="00415702"/>
    <w:sectPr w:rsidR="00C943B4" w:rsidRPr="002A77CC" w:rsidSect="00415702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BA"/>
    <w:multiLevelType w:val="multilevel"/>
    <w:tmpl w:val="87D0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914C6"/>
    <w:multiLevelType w:val="multilevel"/>
    <w:tmpl w:val="25C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A3D4B"/>
    <w:multiLevelType w:val="multilevel"/>
    <w:tmpl w:val="633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03F48"/>
    <w:multiLevelType w:val="multilevel"/>
    <w:tmpl w:val="54F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50618"/>
    <w:multiLevelType w:val="multilevel"/>
    <w:tmpl w:val="030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D62F3"/>
    <w:multiLevelType w:val="multilevel"/>
    <w:tmpl w:val="95A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6650E"/>
    <w:multiLevelType w:val="multilevel"/>
    <w:tmpl w:val="205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941EC"/>
    <w:multiLevelType w:val="multilevel"/>
    <w:tmpl w:val="5BC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71487"/>
    <w:multiLevelType w:val="hybridMultilevel"/>
    <w:tmpl w:val="98F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C0562"/>
    <w:multiLevelType w:val="multilevel"/>
    <w:tmpl w:val="829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561DA"/>
    <w:multiLevelType w:val="multilevel"/>
    <w:tmpl w:val="824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4474D"/>
    <w:multiLevelType w:val="multilevel"/>
    <w:tmpl w:val="206E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07612"/>
    <w:multiLevelType w:val="multilevel"/>
    <w:tmpl w:val="C85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A480F"/>
    <w:multiLevelType w:val="multilevel"/>
    <w:tmpl w:val="55F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F2405"/>
    <w:multiLevelType w:val="multilevel"/>
    <w:tmpl w:val="30D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04680"/>
    <w:multiLevelType w:val="multilevel"/>
    <w:tmpl w:val="9D3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620FB"/>
    <w:multiLevelType w:val="multilevel"/>
    <w:tmpl w:val="D57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D5D13"/>
    <w:multiLevelType w:val="multilevel"/>
    <w:tmpl w:val="F2F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812FA"/>
    <w:multiLevelType w:val="hybridMultilevel"/>
    <w:tmpl w:val="98FC75A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DF571C"/>
    <w:multiLevelType w:val="multilevel"/>
    <w:tmpl w:val="4AD6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A2647"/>
    <w:multiLevelType w:val="multilevel"/>
    <w:tmpl w:val="6C2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76A0B"/>
    <w:multiLevelType w:val="multilevel"/>
    <w:tmpl w:val="F58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1255C"/>
    <w:multiLevelType w:val="multilevel"/>
    <w:tmpl w:val="FF8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21"/>
  </w:num>
  <w:num w:numId="8">
    <w:abstractNumId w:val="1"/>
  </w:num>
  <w:num w:numId="9">
    <w:abstractNumId w:val="20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0"/>
  </w:num>
  <w:num w:numId="17">
    <w:abstractNumId w:val="11"/>
  </w:num>
  <w:num w:numId="18">
    <w:abstractNumId w:val="9"/>
  </w:num>
  <w:num w:numId="19">
    <w:abstractNumId w:val="22"/>
  </w:num>
  <w:num w:numId="20">
    <w:abstractNumId w:val="19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1DA"/>
    <w:rsid w:val="001055D2"/>
    <w:rsid w:val="002311A3"/>
    <w:rsid w:val="002449F0"/>
    <w:rsid w:val="002A77CC"/>
    <w:rsid w:val="002E7840"/>
    <w:rsid w:val="002F5394"/>
    <w:rsid w:val="0035667F"/>
    <w:rsid w:val="003D51DA"/>
    <w:rsid w:val="00406B3D"/>
    <w:rsid w:val="00415702"/>
    <w:rsid w:val="00453E8C"/>
    <w:rsid w:val="00491249"/>
    <w:rsid w:val="004B48E1"/>
    <w:rsid w:val="005A6A43"/>
    <w:rsid w:val="005B018B"/>
    <w:rsid w:val="006738D5"/>
    <w:rsid w:val="006B747F"/>
    <w:rsid w:val="007140E3"/>
    <w:rsid w:val="00771DB9"/>
    <w:rsid w:val="007730F0"/>
    <w:rsid w:val="00790901"/>
    <w:rsid w:val="007927EE"/>
    <w:rsid w:val="007E5A2E"/>
    <w:rsid w:val="007E6376"/>
    <w:rsid w:val="00835C1F"/>
    <w:rsid w:val="008608EE"/>
    <w:rsid w:val="00861591"/>
    <w:rsid w:val="00873649"/>
    <w:rsid w:val="008A1164"/>
    <w:rsid w:val="008D6C66"/>
    <w:rsid w:val="00923560"/>
    <w:rsid w:val="009250AF"/>
    <w:rsid w:val="009420FD"/>
    <w:rsid w:val="00983CCA"/>
    <w:rsid w:val="009B4F2A"/>
    <w:rsid w:val="009E4470"/>
    <w:rsid w:val="00A63F29"/>
    <w:rsid w:val="00A65E12"/>
    <w:rsid w:val="00B01B18"/>
    <w:rsid w:val="00B1698A"/>
    <w:rsid w:val="00B4399F"/>
    <w:rsid w:val="00B72EB3"/>
    <w:rsid w:val="00B75B25"/>
    <w:rsid w:val="00B94304"/>
    <w:rsid w:val="00B966B8"/>
    <w:rsid w:val="00C1030C"/>
    <w:rsid w:val="00C4083A"/>
    <w:rsid w:val="00C83630"/>
    <w:rsid w:val="00C943B4"/>
    <w:rsid w:val="00D34BC0"/>
    <w:rsid w:val="00DF4E0E"/>
    <w:rsid w:val="00E30850"/>
    <w:rsid w:val="00E568E9"/>
    <w:rsid w:val="00E80441"/>
    <w:rsid w:val="00EA134A"/>
    <w:rsid w:val="00EA19BB"/>
    <w:rsid w:val="00EA4AE5"/>
    <w:rsid w:val="00EF6A4D"/>
    <w:rsid w:val="00F13A07"/>
    <w:rsid w:val="00F64E02"/>
    <w:rsid w:val="00F77E71"/>
    <w:rsid w:val="00FC4E0E"/>
    <w:rsid w:val="00FF6EAD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1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1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l">
    <w:name w:val="fill"/>
    <w:basedOn w:val="DefaultParagraphFont"/>
    <w:uiPriority w:val="99"/>
    <w:rsid w:val="00F13A07"/>
    <w:rPr>
      <w:rFonts w:cs="Times New Roman"/>
    </w:rPr>
  </w:style>
  <w:style w:type="character" w:styleId="Strong">
    <w:name w:val="Strong"/>
    <w:basedOn w:val="DefaultParagraphFont"/>
    <w:uiPriority w:val="99"/>
    <w:qFormat/>
    <w:rsid w:val="00F13A07"/>
    <w:rPr>
      <w:rFonts w:cs="Times New Roman"/>
      <w:b/>
      <w:bCs/>
    </w:rPr>
  </w:style>
  <w:style w:type="character" w:customStyle="1" w:styleId="sfwc">
    <w:name w:val="sfwc"/>
    <w:basedOn w:val="DefaultParagraphFont"/>
    <w:uiPriority w:val="99"/>
    <w:rsid w:val="00F13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4470"/>
    <w:pPr>
      <w:ind w:left="720"/>
      <w:contextualSpacing/>
    </w:pPr>
  </w:style>
  <w:style w:type="paragraph" w:customStyle="1" w:styleId="Default">
    <w:name w:val="Default"/>
    <w:uiPriority w:val="99"/>
    <w:rsid w:val="009E44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9E447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E44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9420FD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2"/>
    <w:uiPriority w:val="99"/>
    <w:rsid w:val="009420FD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80441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942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4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424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4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42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424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424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424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4</Pages>
  <Words>888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MetodSad</dc:creator>
  <cp:keywords/>
  <dc:description/>
  <cp:lastModifiedBy>Солнышко</cp:lastModifiedBy>
  <cp:revision>61</cp:revision>
  <dcterms:created xsi:type="dcterms:W3CDTF">2019-11-22T05:30:00Z</dcterms:created>
  <dcterms:modified xsi:type="dcterms:W3CDTF">2021-12-22T07:52:00Z</dcterms:modified>
</cp:coreProperties>
</file>