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9717A" w:rsidRPr="00D9717A" w:rsidTr="00F45DA6">
        <w:trPr>
          <w:trHeight w:hRule="exact" w:val="3031"/>
        </w:trPr>
        <w:tc>
          <w:tcPr>
            <w:tcW w:w="10716" w:type="dxa"/>
          </w:tcPr>
          <w:p w:rsidR="00D9717A" w:rsidRPr="00D9717A" w:rsidRDefault="00D9717A" w:rsidP="00D9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position w:val="-61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17A" w:rsidRPr="00D9717A" w:rsidTr="00F45DA6">
        <w:trPr>
          <w:trHeight w:hRule="exact" w:val="8335"/>
        </w:trPr>
        <w:tc>
          <w:tcPr>
            <w:tcW w:w="10716" w:type="dxa"/>
            <w:vAlign w:val="center"/>
          </w:tcPr>
          <w:p w:rsidR="00D9717A" w:rsidRPr="00D9717A" w:rsidRDefault="00D9717A" w:rsidP="00D9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</w:pPr>
            <w:r w:rsidRPr="00D9717A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t>Постановление Главного государственного санитарного врача РФ от 28.09.2020 N 28</w:t>
            </w:r>
            <w:r w:rsidRPr="00D9717A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br/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 w:rsidRPr="00D9717A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br/>
              <w:t>(вместе с "СП 2.4.3648-20. Санитарные правила...")</w:t>
            </w:r>
            <w:r w:rsidRPr="00D9717A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br/>
              <w:t>(Зарегистрировано в Минюсте России 18.12.2020 N 61573)</w:t>
            </w:r>
          </w:p>
        </w:tc>
      </w:tr>
      <w:tr w:rsidR="00D9717A" w:rsidRPr="00D9717A" w:rsidTr="00F45DA6">
        <w:trPr>
          <w:trHeight w:hRule="exact" w:val="3031"/>
        </w:trPr>
        <w:tc>
          <w:tcPr>
            <w:tcW w:w="10716" w:type="dxa"/>
            <w:vAlign w:val="center"/>
          </w:tcPr>
          <w:p w:rsidR="00D9717A" w:rsidRPr="00D9717A" w:rsidRDefault="00D9717A" w:rsidP="00D9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</w:pPr>
            <w:r w:rsidRPr="00D9717A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t xml:space="preserve">Документ предоставлен </w:t>
            </w:r>
            <w:hyperlink r:id="rId6" w:history="1">
              <w:r w:rsidRPr="00D9717A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КонсультантПлюс</w:t>
              </w:r>
              <w:r w:rsidRPr="00D9717A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br/>
              </w:r>
              <w:r w:rsidRPr="00D9717A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br/>
              </w:r>
            </w:hyperlink>
            <w:hyperlink r:id="rId7" w:history="1">
              <w:r w:rsidRPr="00D9717A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www.consultant.ru</w:t>
              </w:r>
            </w:hyperlink>
            <w:r w:rsidRPr="00D9717A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br/>
            </w:r>
            <w:r w:rsidRPr="00D9717A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br/>
              <w:t>Дата сохранения: 12.01.2021</w:t>
            </w:r>
            <w:r w:rsidRPr="00D9717A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D9717A" w:rsidRPr="00D9717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Зарегистрировано в Минюсте России 18 декабря 2020 г. N 61573</w:t>
      </w:r>
    </w:p>
    <w:p w:rsidR="00D9717A" w:rsidRPr="00D9717A" w:rsidRDefault="00D9717A" w:rsidP="00D971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ФЕДЕРАЛЬНАЯ СЛУЖБА ПО НАДЗОРУ В СФЕРЕ ЗАЩИТЫ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ПРАВ ПОТРЕБИТЕЛЕЙ И БЛАГОПОЛУЧИЯ ЧЕЛОВЕКА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ГЛАВНЫЙ ГОСУДАРСТВЕННЫЙ САНИТАРНЫЙ ВРАЧ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РОССИЙСКОЙ ФЕДЕРАЦИИ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ПОСТАНОВЛЕНИЕ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от 28 сентября 2020 г. N 28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 УТВЕРЖДЕНИИ САНИТАРНЫХ ПРАВИЛ СП 2.4.3648-20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"САНИТАРНО-ЭПИДЕМИОЛОГИЧЕСКИЕ ТРЕБОВАНИЯ К ОРГАНИЗАЦИЯМ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ВОСПИТАНИЯ И ОБУЧЕНИЯ, ОТДЫХА И ОЗДОРОВЛЕНИЯ ДЕТЕЙ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 МОЛОДЕЖИ"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статьей 39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9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санитарные </w:t>
      </w:r>
      <w:hyperlink w:anchor="Par71" w:tooltip="САНИТАРНЫЕ ПРАВИЛА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Ввести в действие санитарные </w:t>
      </w:r>
      <w:hyperlink w:anchor="Par71" w:tooltip="САНИТАРНЫЕ ПРАВИЛА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Установить срок действия санитарных </w:t>
      </w:r>
      <w:hyperlink w:anchor="Par71" w:tooltip="САНИТАРНЫЕ ПРАВИЛА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Признать утратившими силу с 01.01.2021: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0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1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2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3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4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5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6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7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8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9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0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1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2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3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4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5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6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7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8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9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30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31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32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33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34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35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36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37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38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39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40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41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42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43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А.Ю.ПОПОВА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Утверждены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Главного государственного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санитарного врача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28.09.2020 N 28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0" w:name="Par71"/>
      <w:bookmarkEnd w:id="0"/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САНИТАРНЫЕ ПРАВИЛА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СП 2.4.3648-20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"САНИТАРНО-ЭПИДЕМИОЛОГИЧЕСКИЕ ТРЕБОВАНИЯ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ОРГАНИЗАЦИЯМ ВОСПИТАНИЯ И ОБУЧЕНИЯ, ОТДЫХА И ОЗДОРОВЛЕНИЯ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ДЕТЕЙ И МОЛОДЕЖИ"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1. Область применения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80"/>
      <w:bookmarkEnd w:id="1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1.1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(далее - Хозяйствующие субъекты).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1.1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(далее - объекты), должны соблюдаться требования Правил, установленные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2.1.1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2.1.2 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второй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четвертый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пятый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2.1.3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четвертый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четвертый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третий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2.2.5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2.2.6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2.3.1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2.3.2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2.3.3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2.4.1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2.4.2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третий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четвертый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седьмой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одиннадцатый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четырнадцатый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2.4.7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второй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2.4.9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2.4.10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второй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пятый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2.4.12 (абзац первый)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2.4.13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2.4.14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2.5.1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240" w:tooltip="В помещениях с повышенной влажностью воздуха потолки должны быть влагостойким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2.5.3 (абзацы второй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2.6.1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2.6.5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2.7.1 (</w:t>
      </w:r>
      <w:hyperlink w:anchor="Par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254" w:tooltip="В помещениях обеспечиваются параметры микроклимата, воздухообмена, определенные требованиями гигиенических нормативов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второй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2.7.2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2.7.4 (</w:t>
      </w:r>
      <w:hyperlink w:anchor="Par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второй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2.8.1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2.8.2 (</w:t>
      </w:r>
      <w:hyperlink w:anchor="Par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268" w:tooltip="Допускается эксплуатация без естественного освещения следующих помещений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второй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2.8.5 (абзац первый)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2.8.7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2.8.8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3.1.1 (абзац первый)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четвертый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седьмой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девятый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десятый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второй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четвертый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шестой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четвертый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шестой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восьмой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второй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3.2.4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3.2.7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второй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3.3.3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3.4.1 (абзац первый)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3.4.2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3.4.3 (</w:t>
      </w:r>
      <w:hyperlink w:anchor="Par479" w:tooltip="3.4.3. Для всех обучающихся должны быть созданы условия для организации питани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третий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3.4.4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3.4.5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3.4.9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3.4.13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500" w:tooltip="- не менее 2,5 м2 на одного обучающегося при фронтальных формах занятий;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четвертый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шестой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3.6.1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3.6.3 (</w:t>
      </w:r>
      <w:hyperlink w:anchor="Par580" w:tooltip="3.6.3. Состав помещений физкультурно-спортивных организаций определяется видом спорта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583" w:tooltip="Спортивный инвентарь хранится в помещениях снарядных при спортивных залах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четвертый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- в отношении организаций дополнительного образования и физкультурно-спортивных организаций,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3.7.2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3.7.4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3.7.5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 отношении организаций для детей-сирот и детей, оставшихся без попечения родителей;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3.8.1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- 3.8.4 - в отношении организаций социального обслуживания семьи и детей,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3.9.1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3.9.2 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второй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второй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четвертый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шестой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3.9.4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 отношении профессиональных образовательных организаций,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3.10.1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3.10.2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 отношении образовательных организаций высшего образования,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3.11.3 (абзац первый)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3.11.4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3.11.5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3.11.6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 отношении загородных стационарных детских оздоровительных лагерей с круглосуточным пребыванием,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3.15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&lt;1&gt; </w:t>
      </w:r>
      <w:hyperlink r:id="rId44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 2 статьи 40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&lt;2&gt; </w:t>
      </w:r>
      <w:hyperlink r:id="rId45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&lt;3&gt; </w:t>
      </w:r>
      <w:hyperlink r:id="rId46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&lt;4&gt; </w:t>
      </w:r>
      <w:hyperlink r:id="rId47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Статья 34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 Проведение всех видов ремонтных работ в присутствии детей не допускается.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09"/>
      <w:bookmarkEnd w:id="2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9717A" w:rsidRPr="00D9717A" w:rsidTr="00F45DA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717A" w:rsidRPr="00D9717A" w:rsidRDefault="00D9717A" w:rsidP="00D9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9717A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КонсультантПлюс: примечание.</w:t>
            </w:r>
          </w:p>
          <w:p w:rsidR="00D9717A" w:rsidRPr="00D9717A" w:rsidRDefault="00D9717A" w:rsidP="00D9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9717A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II. Общие требования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При размещении объектов хозяйствующим субъектом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119"/>
      <w:bookmarkEnd w:id="3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120"/>
      <w:bookmarkEnd w:id="4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121"/>
      <w:bookmarkEnd w:id="5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123"/>
      <w:bookmarkEnd w:id="6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оборудованным транспортным средством для перевозки указанных лиц.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124"/>
      <w:bookmarkEnd w:id="7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125"/>
      <w:bookmarkEnd w:id="8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На территории хозяйствующего субъекта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127"/>
      <w:bookmarkEnd w:id="9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ar130"/>
      <w:bookmarkEnd w:id="10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собственной территории не должно быть плодоносящих ядовитыми плодами деревьев и кустарников.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ar131"/>
      <w:bookmarkEnd w:id="11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134"/>
      <w:bookmarkEnd w:id="12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ar135"/>
      <w:bookmarkEnd w:id="13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площадке устанавливаются контейнеры (мусоросборники) с закрывающимися крышками.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Par137"/>
      <w:bookmarkEnd w:id="14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2.2.4. Покрытие проездов, подходов и дорожек на собственной территории не должно иметь дефектов.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Par139"/>
      <w:bookmarkEnd w:id="15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Par140"/>
      <w:bookmarkEnd w:id="16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Par142"/>
      <w:bookmarkEnd w:id="17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&lt;5&gt; </w:t>
      </w:r>
      <w:hyperlink r:id="rId48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Часть 3 статьи 41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Par158"/>
      <w:bookmarkEnd w:id="18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Par159"/>
      <w:bookmarkEnd w:id="19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В объектах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Par162"/>
      <w:bookmarkEnd w:id="20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2.4.1. Входы в здания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главой III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Par163"/>
      <w:bookmarkEnd w:id="21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2.4.2. Количество обучающихся, воспитанников и отдыхающих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3.1.1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3.4.14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и гигиенические нормативы.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Par164"/>
      <w:bookmarkEnd w:id="22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&lt;6&gt; </w:t>
      </w:r>
      <w:hyperlink r:id="rId49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ТР ТС 025/2012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Par169"/>
      <w:bookmarkEnd w:id="23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Par170"/>
      <w:bookmarkEnd w:id="24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 рассаживают с учетом роста, наличия заболеваний органов дыхания, слуха и зрения.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Par173"/>
      <w:bookmarkEnd w:id="25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50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ТР ТС 025/2012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1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требованиям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продукции (товарам), подлежащей санитарно-эпидемиологическому надзору (контролю) &lt;7&gt;.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&lt;7&gt; Утверждены </w:t>
      </w:r>
      <w:hyperlink r:id="rId52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решением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Par189"/>
      <w:bookmarkEnd w:id="26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Par190"/>
      <w:bookmarkEnd w:id="27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Par192"/>
      <w:bookmarkEnd w:id="28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Par198"/>
      <w:bookmarkEnd w:id="29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Par199"/>
      <w:bookmarkEnd w:id="30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работы с тестом допускается использование съемной доски, выполненной из дерева твердых лиственных пород.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Par202"/>
      <w:bookmarkEnd w:id="31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Par207"/>
      <w:bookmarkEnd w:id="32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Par208"/>
      <w:bookmarkEnd w:id="33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Par209"/>
      <w:bookmarkEnd w:id="34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личных постельных принадлежностей и спальных мест.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Par213"/>
      <w:bookmarkEnd w:id="35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Par215"/>
      <w:bookmarkEnd w:id="36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Par216"/>
      <w:bookmarkEnd w:id="37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 3 до 7 лет - 16,0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для детей старше 7 лет - не менее 0,1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ребенка.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Par217"/>
      <w:bookmarkEnd w:id="38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Санитарно-техническое оборудование должно гигиеническим нормативам, быть исправным и без дефектов.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Par220"/>
      <w:bookmarkEnd w:id="39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Par221"/>
      <w:bookmarkEnd w:id="40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Par223"/>
      <w:bookmarkEnd w:id="41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Par224"/>
      <w:bookmarkEnd w:id="42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&lt;8&gt; </w:t>
      </w:r>
      <w:hyperlink r:id="rId53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Часть 3 статьи 41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 (места) для стирки белья и гладильные оборудуются отдельно.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При отделке объектов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Par237"/>
      <w:bookmarkEnd w:id="43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2.5.2. Полы не должны иметь дефектов и повреждений и должны быть выполненными из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материалов, допускающих влажную обработку и дезинфекцию.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Par240"/>
      <w:bookmarkEnd w:id="44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 с повышенной влажностью воздуха потолки должны быть влагостойкими.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Par242"/>
      <w:bookmarkEnd w:id="45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2.6.3. Горячая и холодная вода должна подаваться через смесители.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Par248"/>
      <w:bookmarkEnd w:id="46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использовании установок с дозированным розливом питьевой воды, расфасованной в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Микроклимат, отопление и вентиляция в объектах должны соответствовать следующим требованиям: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Par253"/>
      <w:bookmarkEnd w:id="47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Par254"/>
      <w:bookmarkEnd w:id="48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использование переносных отопительных приборов с инфракрасным излучением.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Par257"/>
      <w:bookmarkEnd w:id="49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Проветривание в присутствии детей не проводится.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Par260"/>
      <w:bookmarkEnd w:id="50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Par261"/>
      <w:bookmarkEnd w:id="51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Ограждения из древесно-стружечных плит к использованию не допускаются.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 Естественное и искусственное освещение в объектах должны соответствовать следующим требованиям: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Par266"/>
      <w:bookmarkEnd w:id="52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" w:name="Par267"/>
      <w:bookmarkEnd w:id="53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Par268"/>
      <w:bookmarkEnd w:id="54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эксплуатация без естественного освещения следующих помещений: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помещений для спортивных снарядов (далее - снарядные),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умывальных, душевых, туалетов при гимнастическом (или спортивном) зале,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душевых и туалетов для персонала,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кладовых и складских помещений, радиоузлов,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кино-, фотолабораторий,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кинозалов,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книгохранилищ,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бойлерных, насосных водопровода и канализации,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камер вентиляционных,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камер кондиционирования воздуха,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Par285"/>
      <w:bookmarkEnd w:id="55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в одном помещении использовать разные типы ламп, а также лампы с разным светооизлучением.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" w:name="Par289"/>
      <w:bookmarkEnd w:id="56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Par290"/>
      <w:bookmarkEnd w:id="57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&lt;9&gt; </w:t>
      </w:r>
      <w:hyperlink r:id="rId54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Статья 29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&lt;10&gt; </w:t>
      </w:r>
      <w:hyperlink r:id="rId55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 7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по формированию здорового образа жизни и реализация технологий сбережения здоровья;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соблюдением правил личной гигиены;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выявленные инвазированные регистрируются в журнале для инфекционных заболеваний.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помывки в душе предоставляется ежедневно.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2.9.7. Хозяйствующим субъектом должны быть созданы условия для мытья рук воспитанников,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обучающихся и отдыхающих.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с использованием ЭСО в возрастных группах до 5 лет не проводятся.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зале.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сжигание мусора на собственной территории, в том числе в мусоросборниках.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2.11.2. Все помещения подлежат ежедневной влажной уборке с применением моющих средств.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 моются в специально выделенных, промаркированных емкостях.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Пенолатексные, ворсованные игрушки и мягконабивные игрушки обрабатываются согласно инструкции производителя.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организации обучения в несколько смен уборка проводится по окончании каждой смены.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ежедневно протираются с использованием дезинфицирующих средств.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технических целей в туалетных помещениях устанавливается отдельный водопроводный кран.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58" w:name="Par378"/>
      <w:bookmarkEnd w:id="58"/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III. Требования в отношении отдельных видов осуществляемой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717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хозяйствующими субъектами деятельности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Par381"/>
      <w:bookmarkEnd w:id="59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0" w:name="Par382"/>
      <w:bookmarkEnd w:id="60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групп раннего возраста (до 3 лет) - не менее 2,5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1 ребенка и для групп дошкольного возраста (от 3 до 7 лет) - не менее 2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ребенка, для детей от 3 до 7 лет - не менее 2,0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ребенка. Физкультурный зал для детей дошкольного возраста должен быть не менее 75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глухих детей - 6 детей для обеих возрастных групп,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слепых детей - 6 детей для обеих возрастных групп,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амблиопией, косоглазием - 6 детей в возрасте до 3 лет и 10 детей в возрасте старше 3 лет,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задержкой психоречевого развития - 6 детей в возрасте до 3 лет,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задержкой психического развития - 10 детей в возрасте старше 3 лет,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возрасте старше 3 лет, в том числе: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Par408"/>
      <w:bookmarkEnd w:id="61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одного ребенка, но не менее 20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2" w:name="Par411"/>
      <w:bookmarkEnd w:id="62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установка на прогулочной площадке сборно-разборных навесов, беседок.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3" w:name="Par413"/>
      <w:bookmarkEnd w:id="63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4" w:name="Par419"/>
      <w:bookmarkEnd w:id="64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5" w:name="Par421"/>
      <w:bookmarkEnd w:id="65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6" w:name="Par422"/>
      <w:bookmarkEnd w:id="66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раздевальных комнатах или в отдельных помещениях создаются условия для сушки верхней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одежды и обуви детей.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3.1.6. Расстановка кроватей должна обеспечивать свободный проход детей между ними.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7" w:name="Par430"/>
      <w:bookmarkEnd w:id="67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8" w:name="Par431"/>
      <w:bookmarkEnd w:id="68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 горшки маркируются по общему количеству детей.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9" w:name="Par433"/>
      <w:bookmarkEnd w:id="69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использование детского туалета персоналом.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0" w:name="Par435"/>
      <w:bookmarkEnd w:id="70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инфекционного заболевания к посещению не допускаются.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3.1.10. Допускается доставка готовых блюд из других организаций в соответствии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1.9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Правил. Доставка готовых блюд должна осуществляться в изотермической таре.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1" w:name="Par440"/>
      <w:bookmarkEnd w:id="71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 совмещение в одном помещении туалета и умывальной комнаты.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2" w:name="Par443"/>
      <w:bookmarkEnd w:id="72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3" w:name="Par445"/>
      <w:bookmarkEnd w:id="73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4" w:name="Par447"/>
      <w:bookmarkEnd w:id="74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просушивание белья, одежды и обуви в игровой комнате, спальне, кухне.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5" w:name="Par451"/>
      <w:bookmarkEnd w:id="75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6" w:name="Par452"/>
      <w:bookmarkEnd w:id="76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Детям должен быть обеспечен питьевой режим.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3.2.2. Помещения оборудуются вешалками для верхней одежды, полками для обуви.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7" w:name="Par457"/>
      <w:bookmarkEnd w:id="77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3.2.4. В помещениях предусматривается естественное и (или) искусственное освещение.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8" w:name="Par460"/>
      <w:bookmarkEnd w:id="78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3.2.10. При организации образовательной деятельности пребывание и размещение детей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 3.1.11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9" w:name="Par465"/>
      <w:bookmarkEnd w:id="79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0" w:name="Par466"/>
      <w:bookmarkEnd w:id="80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1" w:name="Par467"/>
      <w:bookmarkEnd w:id="81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обеспечивается питьевой режим.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2" w:name="Par472"/>
      <w:bookmarkEnd w:id="82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3.3.3. В игровых комнатах предусматривается естественное и (или) искусственное освещение.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3" w:name="Par474"/>
      <w:bookmarkEnd w:id="83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4" w:name="Par475"/>
      <w:bookmarkEnd w:id="84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(подтверждении) соответствия.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5" w:name="Par478"/>
      <w:bookmarkEnd w:id="85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6" w:name="Par479"/>
      <w:bookmarkEnd w:id="86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3.4.3. Для всех обучающихся должны быть созданы условия для организации питания.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7" w:name="Par481"/>
      <w:bookmarkEnd w:id="87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8" w:name="Par482"/>
      <w:bookmarkEnd w:id="88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9" w:name="Par483"/>
      <w:bookmarkEnd w:id="89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3.4.5. В гардеробах оборудуют места для каждого класса, исходя из площади не менее 0,15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ребенка.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0" w:name="Par489"/>
      <w:bookmarkEnd w:id="90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душевых - 12,0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персонала оборудуется отдельный санузел (кабина).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5 - 11 классов необходимо оборудовать комнату (кабину) личной гигиены девочек площадью не менее 3,0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абзаце 2 пункта 2.8.2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1" w:name="Par496"/>
      <w:bookmarkEnd w:id="91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2" w:name="Par497"/>
      <w:bookmarkEnd w:id="92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3.1.1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категории обучающихся.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3" w:name="Par500"/>
      <w:bookmarkEnd w:id="93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не менее 2,5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одного обучающегося при фронтальных формах занятий;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менее 3,5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одного обучающегося при организации групповых форм работы и индивидуальных занятий.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4" w:name="Par502"/>
      <w:bookmarkEnd w:id="94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глухих обучающихся - 6 человек,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слепых обучающихся - 8 человек,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слабовидящих обучающихся - 12 человек,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с тяжелыми нарушениями речи - 12 человек,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с нарушениями опорно-двигательного аппарата - 10 человек,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с расстройствами аутистического спектра - 8 человек,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со сложными дефектами (с тяжелыми множественными нарушениями развития) - 5 человек.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&lt;11&gt; </w:t>
      </w:r>
      <w:hyperlink r:id="rId56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статья 28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30.03.1999 N 52-ФЗ "О санитарно-эпидемиологическом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7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статья 11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2 - 4 классов - не более 5 уроков и один раз в неделю 6 уроков за счет урока физической культуры,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5 - 6 классов - не более 6 уроков, для обучающихся 7 - 11 классов - не более 7 уроков.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продолжительностью не менее 20 минут.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1 классе осуществляется с соблюдением следующих требований: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занятия проводятся по 5-дневной учебной неделе и только в первую смену,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середине учебного дня организуется динамическая пауза продолжительностью не менее 40 минут,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образовательные потребности обучающихся с ограниченными возможностями здоровья.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 ожидания начала экзамена в классах не должно превышать 30 минут.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5" w:name="Par551"/>
      <w:bookmarkEnd w:id="95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3.5.3. Для образовательных целей мобильные средства связи не используются.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3.5.5. Оконные проемы в помещениях, где используются ЭСО, должны быть оборудованы светорегулируемыми устройствами.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6" w:name="Par569"/>
      <w:bookmarkEnd w:id="96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7" w:name="Par570"/>
      <w:bookmarkEnd w:id="97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Раздевалки для верхней одежды размещают на первом или цокольном (подвальном) этаже хозяйствующего субъекта.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организациях с количеством до 20 человек допустимо оборудование одного туалета.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персонала выделяется отдельный туалет (кабина).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Мастерские, лаборатории оборудуются умывальными раковинами, кладовыми (шкафами).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Раздевалки оборудуются скамьями и шкафчиками (вешалками).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8" w:name="Par580"/>
      <w:bookmarkEnd w:id="98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3.6.3. Состав помещений физкультурно-спортивных организаций определяется видом спорта.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9" w:name="Par583"/>
      <w:bookmarkEnd w:id="99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Спортивный инвентарь хранится в помещениях снарядных при спортивных залах.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 3.1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 3.3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Правил.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0" w:name="Par589"/>
      <w:bookmarkEnd w:id="100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1" w:name="Par594"/>
      <w:bookmarkEnd w:id="101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2" w:name="Par595"/>
      <w:bookmarkEnd w:id="102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 В учреждениях социального обслуживания семьи и детей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3" w:name="Par597"/>
      <w:bookmarkEnd w:id="103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Раздевалки размещаются на первом или цокольном этаже.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4" w:name="Par609"/>
      <w:bookmarkEnd w:id="104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 В профессиональных образовательных организациях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5" w:name="Par610"/>
      <w:bookmarkEnd w:id="105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6" w:name="Par612"/>
      <w:bookmarkEnd w:id="106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пункту 3.4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7" w:name="Par613"/>
      <w:bookmarkEnd w:id="107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8" w:name="Par615"/>
      <w:bookmarkEnd w:id="108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9" w:name="Par616"/>
      <w:bookmarkEnd w:id="109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0" w:name="Par618"/>
      <w:bookmarkEnd w:id="110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1" w:name="Par620"/>
      <w:bookmarkEnd w:id="111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2" w:name="Par622"/>
      <w:bookmarkEnd w:id="112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&lt;12&gt; </w:t>
      </w:r>
      <w:hyperlink r:id="rId58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3803).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3" w:name="Par629"/>
      <w:bookmarkEnd w:id="113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 В образовательных организациях высшего образования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4" w:name="Par630"/>
      <w:bookmarkEnd w:id="114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5" w:name="Par632"/>
      <w:bookmarkEnd w:id="115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пунктов 3.4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3.5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3.9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3.6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6" w:name="Par633"/>
      <w:bookmarkEnd w:id="116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&lt;13&gt; </w:t>
      </w:r>
      <w:hyperlink r:id="rId59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Форма N 079/у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7" w:name="Par645"/>
      <w:bookmarkEnd w:id="117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8" w:name="Par648"/>
      <w:bookmarkEnd w:id="118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 для стирки белья могут быть оборудованы в отдельном помещении.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9" w:name="Par652"/>
      <w:bookmarkEnd w:id="119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 оборудование в медицинском пункте или в изоляторе душевой (ванной комнаты).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0" w:name="Par655"/>
      <w:bookmarkEnd w:id="120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Хозяйствующим субъектом обеспечивается освещение дорожек, ведущих к туалетам.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Ежедневно должна проводиться бесконтактная термометрия детей и сотрудников.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&lt;14&gt; </w:t>
      </w:r>
      <w:hyperlink r:id="rId60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Статья 29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назначения и для занятий +18 °C.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1" w:name="Par668"/>
      <w:bookmarkEnd w:id="121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 В палаточных лагерях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3.13.2. Перед открытием палаточного лагеря на территории, на которой планируется его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палаточному лагерю должен быть обеспечен подъезд транспорта.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 w:rsidRPr="00D971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темное время суток обеспечивается дежурное освещение тропинок, ведущих к туалетам.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Могут использоваться личные теплоизоляционные коврики, спальные мешки, вкладыши.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3.13.9. Организованная помывка детей должна проводиться не реже 1 раза в 7 календарных дней.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Мыльные воды должны проходить очистку через фильтр для улавливания мыльных вод.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3.13.14. Дети осматриваются на предмет присасывания клеща перед дневным и ночным сном, а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также при возвращении детей после их выхода за пределы территории палаточного лагеря.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абзацами вторым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четвертым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десятым пункта 2.4.6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и санитарно-эпидемиологическими требованиями к организации общественного питания населения.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3.14. В организациях труда и отдыха (полевой практики)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должны работать в головных уборах.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3.14.2. Запрещается труд детей после 20:00 часов.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пунктов 3.10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3.11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 w:rsidRPr="00D971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3.12</w:t>
        </w:r>
      </w:hyperlink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3.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9717A" w:rsidRPr="00D9717A" w:rsidTr="00F45DA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717A" w:rsidRPr="00D9717A" w:rsidRDefault="00D9717A" w:rsidP="00D9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9717A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КонсультантПлюс: примечание.</w:t>
            </w:r>
          </w:p>
          <w:p w:rsidR="00D9717A" w:rsidRPr="00D9717A" w:rsidRDefault="00D9717A" w:rsidP="00D9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9717A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2" w:name="Par720"/>
      <w:bookmarkEnd w:id="122"/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3.16.1. Хозяйствующие субъекты, деятельность которых связана с организацией и проведением </w:t>
      </w: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Организаторами поездок организованных групп детей железнодорожным транспортом: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организуется питание организованных групп детей с интервалами не более 4 часов;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При нахождении в пути свыше 1 дня организуется горячее питание.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 организатора;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дата выезда, станция отправления и назначения, номер поезда и вагона, его вид;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детей и сопровождающих;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медицинского сопровождения;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и адрес конечного пункта назначения;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1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планируемый тип питания в пути следования.</w:t>
      </w: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17A" w:rsidRPr="00D9717A" w:rsidRDefault="00D9717A" w:rsidP="00D971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D7672" w:rsidRDefault="002D7672">
      <w:bookmarkStart w:id="123" w:name="_GoBack"/>
      <w:bookmarkEnd w:id="123"/>
    </w:p>
    <w:sectPr w:rsidR="002D7672">
      <w:headerReference w:type="default" r:id="rId61"/>
      <w:footerReference w:type="default" r:id="rId62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71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1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1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1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717A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1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</w:t>
          </w:r>
          <w:r>
            <w:rPr>
              <w:sz w:val="16"/>
              <w:szCs w:val="16"/>
            </w:rPr>
            <w:t>ного врача РФ от 28.09.2020 N 28</w:t>
          </w:r>
          <w:r>
            <w:rPr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17A">
          <w:pPr>
            <w:pStyle w:val="ConsPlusNormal"/>
            <w:jc w:val="center"/>
          </w:pPr>
        </w:p>
        <w:p w:rsidR="00000000" w:rsidRDefault="00D971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1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12.01.2021</w:t>
          </w:r>
        </w:p>
      </w:tc>
    </w:tr>
  </w:tbl>
  <w:p w:rsidR="00000000" w:rsidRDefault="00D971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71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84"/>
    <w:rsid w:val="002D7672"/>
    <w:rsid w:val="00595084"/>
    <w:rsid w:val="00D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717A"/>
  </w:style>
  <w:style w:type="paragraph" w:customStyle="1" w:styleId="ConsPlusNormal">
    <w:name w:val="ConsPlusNormal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717A"/>
  </w:style>
  <w:style w:type="paragraph" w:customStyle="1" w:styleId="ConsPlusNormal">
    <w:name w:val="ConsPlusNormal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9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203301&amp;date=12.01.2021" TargetMode="External"/><Relationship Id="rId18" Type="http://schemas.openxmlformats.org/officeDocument/2006/relationships/hyperlink" Target="https://login.consultant.ru/link/?req=doc&amp;base=RZR&amp;n=93546&amp;date=12.01.2021" TargetMode="External"/><Relationship Id="rId26" Type="http://schemas.openxmlformats.org/officeDocument/2006/relationships/hyperlink" Target="https://login.consultant.ru/link/?req=doc&amp;base=RZR&amp;n=123619&amp;date=12.01.2021" TargetMode="External"/><Relationship Id="rId39" Type="http://schemas.openxmlformats.org/officeDocument/2006/relationships/hyperlink" Target="https://login.consultant.ru/link/?req=doc&amp;base=RZR&amp;n=190919&amp;date=12.01.2021" TargetMode="External"/><Relationship Id="rId21" Type="http://schemas.openxmlformats.org/officeDocument/2006/relationships/hyperlink" Target="https://login.consultant.ru/link/?req=doc&amp;base=RZR&amp;n=103505&amp;date=12.01.2021" TargetMode="External"/><Relationship Id="rId34" Type="http://schemas.openxmlformats.org/officeDocument/2006/relationships/hyperlink" Target="https://login.consultant.ru/link/?req=doc&amp;base=RZR&amp;n=172372&amp;date=12.01.2021" TargetMode="External"/><Relationship Id="rId42" Type="http://schemas.openxmlformats.org/officeDocument/2006/relationships/hyperlink" Target="https://login.consultant.ru/link/?req=doc&amp;base=RZR&amp;n=322027&amp;date=12.01.2021" TargetMode="External"/><Relationship Id="rId47" Type="http://schemas.openxmlformats.org/officeDocument/2006/relationships/hyperlink" Target="https://login.consultant.ru/link/?req=doc&amp;base=RZR&amp;n=357147&amp;date=12.01.2021&amp;dst=100212&amp;fld=134" TargetMode="External"/><Relationship Id="rId50" Type="http://schemas.openxmlformats.org/officeDocument/2006/relationships/hyperlink" Target="https://login.consultant.ru/link/?req=doc&amp;base=RZR&amp;n=131318&amp;date=12.01.2021&amp;dst=100012&amp;fld=134" TargetMode="External"/><Relationship Id="rId55" Type="http://schemas.openxmlformats.org/officeDocument/2006/relationships/hyperlink" Target="https://login.consultant.ru/link/?req=doc&amp;base=RZR&amp;n=370001&amp;date=12.01.2021&amp;dst=100737&amp;fld=13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27899&amp;date=12.01.2021" TargetMode="External"/><Relationship Id="rId20" Type="http://schemas.openxmlformats.org/officeDocument/2006/relationships/hyperlink" Target="https://login.consultant.ru/link/?req=doc&amp;base=RZR&amp;n=101234&amp;date=12.01.2021" TargetMode="External"/><Relationship Id="rId29" Type="http://schemas.openxmlformats.org/officeDocument/2006/relationships/hyperlink" Target="https://login.consultant.ru/link/?req=doc&amp;base=RZR&amp;n=185747&amp;date=12.01.2021" TargetMode="External"/><Relationship Id="rId41" Type="http://schemas.openxmlformats.org/officeDocument/2006/relationships/hyperlink" Target="https://login.consultant.ru/link/?req=doc&amp;base=RZR&amp;n=215323&amp;date=12.01.2021" TargetMode="External"/><Relationship Id="rId54" Type="http://schemas.openxmlformats.org/officeDocument/2006/relationships/hyperlink" Target="https://login.consultant.ru/link/?req=doc&amp;base=RZR&amp;n=357147&amp;date=12.01.2021&amp;dst=100189&amp;fld=134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s://login.consultant.ru/link/?req=doc&amp;base=RZR&amp;n=112428&amp;date=12.01.2021" TargetMode="External"/><Relationship Id="rId24" Type="http://schemas.openxmlformats.org/officeDocument/2006/relationships/hyperlink" Target="https://login.consultant.ru/link/?req=doc&amp;base=RZR&amp;n=112397&amp;date=12.01.2021" TargetMode="External"/><Relationship Id="rId32" Type="http://schemas.openxmlformats.org/officeDocument/2006/relationships/hyperlink" Target="https://login.consultant.ru/link/?req=doc&amp;base=RZR&amp;n=215350&amp;date=12.01.2021" TargetMode="External"/><Relationship Id="rId37" Type="http://schemas.openxmlformats.org/officeDocument/2006/relationships/hyperlink" Target="https://login.consultant.ru/link/?req=doc&amp;base=RZR&amp;n=184630&amp;date=12.01.2021" TargetMode="External"/><Relationship Id="rId40" Type="http://schemas.openxmlformats.org/officeDocument/2006/relationships/hyperlink" Target="https://login.consultant.ru/link/?req=doc&amp;base=RZR&amp;n=184835&amp;date=12.01.2021" TargetMode="External"/><Relationship Id="rId45" Type="http://schemas.openxmlformats.org/officeDocument/2006/relationships/hyperlink" Target="https://login.consultant.ru/link/?req=doc&amp;base=RZR&amp;n=343200&amp;date=12.01.2021" TargetMode="External"/><Relationship Id="rId53" Type="http://schemas.openxmlformats.org/officeDocument/2006/relationships/hyperlink" Target="https://login.consultant.ru/link/?req=doc&amp;base=RZR&amp;n=370280&amp;date=12.01.2021&amp;dst=102&amp;fld=134" TargetMode="External"/><Relationship Id="rId58" Type="http://schemas.openxmlformats.org/officeDocument/2006/relationships/hyperlink" Target="https://login.consultant.ru/link/?req=doc&amp;base=RZR&amp;n=115476&amp;date=12.01.2021&amp;dst=100008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R&amp;n=68862&amp;date=12.01.2021" TargetMode="External"/><Relationship Id="rId23" Type="http://schemas.openxmlformats.org/officeDocument/2006/relationships/hyperlink" Target="https://login.consultant.ru/link/?req=doc&amp;base=RZR&amp;n=325763&amp;date=12.01.2021" TargetMode="External"/><Relationship Id="rId28" Type="http://schemas.openxmlformats.org/officeDocument/2006/relationships/hyperlink" Target="https://login.consultant.ru/link/?req=doc&amp;base=RZR&amp;n=215351&amp;date=12.01.2021" TargetMode="External"/><Relationship Id="rId36" Type="http://schemas.openxmlformats.org/officeDocument/2006/relationships/hyperlink" Target="https://login.consultant.ru/link/?req=doc&amp;base=RZR&amp;n=183968&amp;date=12.01.2021" TargetMode="External"/><Relationship Id="rId49" Type="http://schemas.openxmlformats.org/officeDocument/2006/relationships/hyperlink" Target="https://login.consultant.ru/link/?req=doc&amp;base=RZR&amp;n=131318&amp;date=12.01.2021&amp;dst=100012&amp;fld=134" TargetMode="External"/><Relationship Id="rId57" Type="http://schemas.openxmlformats.org/officeDocument/2006/relationships/hyperlink" Target="https://login.consultant.ru/link/?req=doc&amp;base=RZR&amp;n=370280&amp;date=12.01.2021&amp;dst=100196&amp;fld=134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login.consultant.ru/link/?req=doc&amp;base=RZR&amp;n=172399&amp;date=12.01.2021" TargetMode="External"/><Relationship Id="rId19" Type="http://schemas.openxmlformats.org/officeDocument/2006/relationships/hyperlink" Target="https://login.consultant.ru/link/?req=doc&amp;base=RZR&amp;n=215353&amp;date=12.01.2021" TargetMode="External"/><Relationship Id="rId31" Type="http://schemas.openxmlformats.org/officeDocument/2006/relationships/hyperlink" Target="https://login.consultant.ru/link/?req=doc&amp;base=RZR&amp;n=160932&amp;date=12.01.2021" TargetMode="External"/><Relationship Id="rId44" Type="http://schemas.openxmlformats.org/officeDocument/2006/relationships/hyperlink" Target="https://login.consultant.ru/link/?req=doc&amp;base=RZR&amp;n=357147&amp;date=12.01.2021&amp;dst=100449&amp;fld=134" TargetMode="External"/><Relationship Id="rId52" Type="http://schemas.openxmlformats.org/officeDocument/2006/relationships/hyperlink" Target="https://login.consultant.ru/link/?req=doc&amp;base=RZR&amp;n=362437&amp;date=12.01.2021" TargetMode="External"/><Relationship Id="rId60" Type="http://schemas.openxmlformats.org/officeDocument/2006/relationships/hyperlink" Target="https://login.consultant.ru/link/?req=doc&amp;base=RZR&amp;n=357147&amp;date=12.01.2021&amp;dst=10018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55707&amp;date=12.01.2021&amp;dst=100137&amp;fld=134" TargetMode="External"/><Relationship Id="rId14" Type="http://schemas.openxmlformats.org/officeDocument/2006/relationships/hyperlink" Target="https://login.consultant.ru/link/?req=doc&amp;base=RZR&amp;n=68860&amp;date=12.01.2021" TargetMode="External"/><Relationship Id="rId22" Type="http://schemas.openxmlformats.org/officeDocument/2006/relationships/hyperlink" Target="https://login.consultant.ru/link/?req=doc&amp;base=RZR&amp;n=105957&amp;date=12.01.2021" TargetMode="External"/><Relationship Id="rId27" Type="http://schemas.openxmlformats.org/officeDocument/2006/relationships/hyperlink" Target="https://login.consultant.ru/link/?req=doc&amp;base=RZR&amp;n=112060&amp;date=12.01.2021" TargetMode="External"/><Relationship Id="rId30" Type="http://schemas.openxmlformats.org/officeDocument/2006/relationships/hyperlink" Target="https://login.consultant.ru/link/?req=doc&amp;base=RZR&amp;n=184894&amp;date=12.01.2021" TargetMode="External"/><Relationship Id="rId35" Type="http://schemas.openxmlformats.org/officeDocument/2006/relationships/hyperlink" Target="https://login.consultant.ru/link/?req=doc&amp;base=RZR&amp;n=177244&amp;date=12.01.2021" TargetMode="External"/><Relationship Id="rId43" Type="http://schemas.openxmlformats.org/officeDocument/2006/relationships/hyperlink" Target="https://login.consultant.ru/link/?req=doc&amp;base=RZR&amp;n=325623&amp;date=12.01.2021" TargetMode="External"/><Relationship Id="rId48" Type="http://schemas.openxmlformats.org/officeDocument/2006/relationships/hyperlink" Target="https://login.consultant.ru/link/?req=doc&amp;base=RZR&amp;n=370280&amp;date=12.01.2021&amp;dst=102&amp;fld=134" TargetMode="External"/><Relationship Id="rId56" Type="http://schemas.openxmlformats.org/officeDocument/2006/relationships/hyperlink" Target="https://login.consultant.ru/link/?req=doc&amp;base=RZR&amp;n=357147&amp;date=12.01.2021&amp;dst=227&amp;fld=13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ogin.consultant.ru/link/?req=doc&amp;base=RZR&amp;n=357147&amp;date=12.01.2021&amp;dst=238&amp;fld=134" TargetMode="External"/><Relationship Id="rId51" Type="http://schemas.openxmlformats.org/officeDocument/2006/relationships/hyperlink" Target="https://login.consultant.ru/link/?req=doc&amp;base=RZR&amp;n=362437&amp;date=12.01.2021&amp;dst=7769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R&amp;n=103557&amp;date=12.01.2021" TargetMode="External"/><Relationship Id="rId17" Type="http://schemas.openxmlformats.org/officeDocument/2006/relationships/hyperlink" Target="https://login.consultant.ru/link/?req=doc&amp;base=RZR&amp;n=93771&amp;date=12.01.2021" TargetMode="External"/><Relationship Id="rId25" Type="http://schemas.openxmlformats.org/officeDocument/2006/relationships/hyperlink" Target="https://login.consultant.ru/link/?req=doc&amp;base=RZR&amp;n=215352&amp;date=12.01.2021" TargetMode="External"/><Relationship Id="rId33" Type="http://schemas.openxmlformats.org/officeDocument/2006/relationships/hyperlink" Target="https://login.consultant.ru/link/?req=doc&amp;base=RZR&amp;n=168723&amp;date=12.01.2021" TargetMode="External"/><Relationship Id="rId38" Type="http://schemas.openxmlformats.org/officeDocument/2006/relationships/hyperlink" Target="https://login.consultant.ru/link/?req=doc&amp;base=RZR&amp;n=185728&amp;date=12.01.2021" TargetMode="External"/><Relationship Id="rId46" Type="http://schemas.openxmlformats.org/officeDocument/2006/relationships/hyperlink" Target="https://login.consultant.ru/link/?req=doc&amp;base=RZR&amp;n=371159&amp;date=12.01.2021" TargetMode="External"/><Relationship Id="rId59" Type="http://schemas.openxmlformats.org/officeDocument/2006/relationships/hyperlink" Target="https://login.consultant.ru/link/?req=doc&amp;base=RZR&amp;n=369436&amp;date=12.01.2021&amp;dst=35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26678</Words>
  <Characters>152066</Characters>
  <Application>Microsoft Office Word</Application>
  <DocSecurity>0</DocSecurity>
  <Lines>1267</Lines>
  <Paragraphs>356</Paragraphs>
  <ScaleCrop>false</ScaleCrop>
  <Company>SPecialiST RePack</Company>
  <LinksUpToDate>false</LinksUpToDate>
  <CharactersWithSpaces>178388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2021-01-14T03:53:00Z</dcterms:created>
  <dcterms:modified xsi:type="dcterms:W3CDTF">2021-01-14T03:53:00Z</dcterms:modified>
</cp:coreProperties>
</file>